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center"/>
      </w:pPr>
      <w:r>
        <w:t>Cisco Meraki Guide - Part 5 (nguồn youtube clip nhé)</w:t>
      </w:r>
    </w:p>
    <w:p>
      <w:pPr>
        <w:pStyle w:val="Heading1"/>
      </w:pPr>
      <w:r>
        <w:t>🌟 Tổng Quan (Overview)</w:t>
      </w:r>
    </w:p>
    <w:p>
      <w:r>
        <w:t>Tài liệu này hướng dẫn các bước thiết lập cơ bản trên hệ thống Cisco Meraki Cloud Dashboard (Phần 5). Trong phần này, chúng ta sẽ thực hiện các cấu hình sau:</w:t>
      </w:r>
    </w:p>
    <w:p>
      <w:pPr>
        <w:pStyle w:val="ListNumber"/>
      </w:pPr>
      <w:r>
        <w:t>Quản lý và cấu hình các tính năng nâng cao của Cisco Meraki MR Access Point.</w:t>
      </w:r>
    </w:p>
    <w:p>
      <w:pPr>
        <w:pStyle w:val="ListNumber"/>
      </w:pPr>
      <w:r>
        <w:t>Triển khai chính sách truy cập cho thiết bị cá nhân (BYOD) và khách.</w:t>
      </w:r>
    </w:p>
    <w:p>
      <w:pPr>
        <w:pStyle w:val="ListNumber"/>
      </w:pPr>
      <w:r>
        <w:t>Thiết lập quy tắc định hình lưu lượng và ưu tiên băng thông cho các ứng dụng cụ thể.</w:t>
      </w:r>
    </w:p>
    <w:p>
      <w:pPr>
        <w:pStyle w:val="ListNumber"/>
      </w:pPr>
      <w:r>
        <w:t>Cấu hình bảo mật cấp doanh nghiệp bao gồm xác thực RADIUS, tích hợp Active Directory/LDAP và chứng chỉ.</w:t>
      </w:r>
    </w:p>
    <w:p>
      <w:pPr>
        <w:pStyle w:val="ListNumber"/>
      </w:pPr>
      <w:r>
        <w:t>Sử dụng hệ thống phát hiện và ngăn chặn xâm nhập không dây (WIPS/WIDS) tích hợp.</w:t>
      </w:r>
    </w:p>
    <w:p>
      <w:pPr>
        <w:pStyle w:val="ListNumber"/>
      </w:pPr>
      <w:r>
        <w:t>Phân tích dữ liệu vị trí và theo dõi tình trạng sức khỏe tổng thể của mạng không dây.</w:t>
      </w:r>
    </w:p>
    <w:p>
      <w:pPr>
        <w:pStyle w:val="ListNumber"/>
      </w:pPr>
      <w:r>
        <w:t>Tích hợp bảo mật lớp DNS với Cisco Umbrella để bảo vệ mạng.</w:t>
      </w:r>
    </w:p>
    <w:p>
      <w:pPr>
        <w:pStyle w:val="ListNumber"/>
      </w:pPr>
      <w:r>
        <w:t>Cấu hình IPSK (Identity Pre-Shared Key) để áp dụng các chính sách truy cập khác nhau cho người dùng hoặc nhóm khác nhau trên cùng một SSID.</w:t>
      </w:r>
    </w:p>
    <w:p>
      <w:pPr>
        <w:pStyle w:val="ListNumber"/>
      </w:pPr>
      <w:r>
        <w:t>Sử dụng xác thực cục bộ (Local Authentication) để đơn giản hóa quá trình xác thực người dùng mà không cần máy chủ RADIUS riêng biệt.</w:t>
      </w:r>
    </w:p>
    <w:p>
      <w:pPr>
        <w:pStyle w:val="ListNumber"/>
      </w:pPr>
      <w:r>
        <w:t>Các bước vật lý để khởi động và reset thiết bị Meraki MR33 Access Point về cài đặt gốc.</w:t>
      </w:r>
    </w:p>
    <w:p>
      <w:pPr>
        <w:spacing w:after="280"/>
      </w:pPr>
    </w:p>
    <w:p>
      <w:r>
        <w:br w:type="page"/>
      </w:r>
    </w:p>
    <w:p>
      <w:pPr>
        <w:pStyle w:val="Heading2"/>
      </w:pPr>
      <w:r>
        <w:t>Bước 1</w:t>
      </w:r>
    </w:p>
    <w:p>
      <w:r>
        <w:drawing>
          <wp:inline xmlns:a="http://schemas.openxmlformats.org/drawingml/2006/main" xmlns:pic="http://schemas.openxmlformats.org/drawingml/2006/picture">
            <wp:extent cx="8686800" cy="4886325"/>
            <wp:docPr id="1" name="Picture 1"/>
            <wp:cNvGraphicFramePr>
              <a:graphicFrameLocks noChangeAspect="1"/>
            </wp:cNvGraphicFramePr>
            <a:graphic>
              <a:graphicData uri="http://schemas.openxmlformats.org/drawingml/2006/picture">
                <pic:pic>
                  <pic:nvPicPr>
                    <pic:cNvPr id="0" name="step_1.jpg"/>
                    <pic:cNvPicPr/>
                  </pic:nvPicPr>
                  <pic:blipFill>
                    <a:blip r:embed="rId9"/>
                    <a:stretch>
                      <a:fillRect/>
                    </a:stretch>
                  </pic:blipFill>
                  <pic:spPr>
                    <a:xfrm>
                      <a:off x="0" y="0"/>
                      <a:ext cx="8686800" cy="4886325"/>
                    </a:xfrm>
                    <a:prstGeom prst="rect"/>
                  </pic:spPr>
                </pic:pic>
              </a:graphicData>
            </a:graphic>
          </wp:inline>
        </w:drawing>
      </w:r>
    </w:p>
    <w:p>
      <w:pPr>
        <w:pStyle w:val="Heading2"/>
      </w:pPr>
      <w:r>
        <w:t>Bước 2</w:t>
      </w:r>
    </w:p>
    <w:p>
      <w:r>
        <w:drawing>
          <wp:inline xmlns:a="http://schemas.openxmlformats.org/drawingml/2006/main" xmlns:pic="http://schemas.openxmlformats.org/drawingml/2006/picture">
            <wp:extent cx="8686800" cy="4886325"/>
            <wp:docPr id="2" name="Picture 2"/>
            <wp:cNvGraphicFramePr>
              <a:graphicFrameLocks noChangeAspect="1"/>
            </wp:cNvGraphicFramePr>
            <a:graphic>
              <a:graphicData uri="http://schemas.openxmlformats.org/drawingml/2006/picture">
                <pic:pic>
                  <pic:nvPicPr>
                    <pic:cNvPr id="0" name="step_2.jpg"/>
                    <pic:cNvPicPr/>
                  </pic:nvPicPr>
                  <pic:blipFill>
                    <a:blip r:embed="rId10"/>
                    <a:stretch>
                      <a:fillRect/>
                    </a:stretch>
                  </pic:blipFill>
                  <pic:spPr>
                    <a:xfrm>
                      <a:off x="0" y="0"/>
                      <a:ext cx="8686800" cy="4886325"/>
                    </a:xfrm>
                    <a:prstGeom prst="rect"/>
                  </pic:spPr>
                </pic:pic>
              </a:graphicData>
            </a:graphic>
          </wp:inline>
        </w:drawing>
      </w:r>
    </w:p>
    <w:p>
      <w:pPr>
        <w:pStyle w:val="Heading2"/>
      </w:pPr>
      <w:r>
        <w:t>Bước 3</w:t>
      </w:r>
    </w:p>
    <w:p>
      <w:r>
        <w:drawing>
          <wp:inline xmlns:a="http://schemas.openxmlformats.org/drawingml/2006/main" xmlns:pic="http://schemas.openxmlformats.org/drawingml/2006/picture">
            <wp:extent cx="8686800" cy="4886325"/>
            <wp:docPr id="3" name="Picture 3"/>
            <wp:cNvGraphicFramePr>
              <a:graphicFrameLocks noChangeAspect="1"/>
            </wp:cNvGraphicFramePr>
            <a:graphic>
              <a:graphicData uri="http://schemas.openxmlformats.org/drawingml/2006/picture">
                <pic:pic>
                  <pic:nvPicPr>
                    <pic:cNvPr id="0" name="step_3.jpg"/>
                    <pic:cNvPicPr/>
                  </pic:nvPicPr>
                  <pic:blipFill>
                    <a:blip r:embed="rId11"/>
                    <a:stretch>
                      <a:fillRect/>
                    </a:stretch>
                  </pic:blipFill>
                  <pic:spPr>
                    <a:xfrm>
                      <a:off x="0" y="0"/>
                      <a:ext cx="8686800" cy="4886325"/>
                    </a:xfrm>
                    <a:prstGeom prst="rect"/>
                  </pic:spPr>
                </pic:pic>
              </a:graphicData>
            </a:graphic>
          </wp:inline>
        </w:drawing>
      </w:r>
    </w:p>
    <w:p>
      <w:pPr>
        <w:pStyle w:val="Heading2"/>
      </w:pPr>
      <w:r>
        <w:t>Bước 4</w:t>
      </w:r>
    </w:p>
    <w:p>
      <w:r>
        <w:drawing>
          <wp:inline xmlns:a="http://schemas.openxmlformats.org/drawingml/2006/main" xmlns:pic="http://schemas.openxmlformats.org/drawingml/2006/picture">
            <wp:extent cx="8686800" cy="4886325"/>
            <wp:docPr id="4" name="Picture 4"/>
            <wp:cNvGraphicFramePr>
              <a:graphicFrameLocks noChangeAspect="1"/>
            </wp:cNvGraphicFramePr>
            <a:graphic>
              <a:graphicData uri="http://schemas.openxmlformats.org/drawingml/2006/picture">
                <pic:pic>
                  <pic:nvPicPr>
                    <pic:cNvPr id="0" name="step_4.jpg"/>
                    <pic:cNvPicPr/>
                  </pic:nvPicPr>
                  <pic:blipFill>
                    <a:blip r:embed="rId12"/>
                    <a:stretch>
                      <a:fillRect/>
                    </a:stretch>
                  </pic:blipFill>
                  <pic:spPr>
                    <a:xfrm>
                      <a:off x="0" y="0"/>
                      <a:ext cx="8686800" cy="4886325"/>
                    </a:xfrm>
                    <a:prstGeom prst="rect"/>
                  </pic:spPr>
                </pic:pic>
              </a:graphicData>
            </a:graphic>
          </wp:inline>
        </w:drawing>
      </w:r>
    </w:p>
    <w:sectPr w:rsidR="00FC693F" w:rsidRPr="0006063C" w:rsidSect="00034616">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jpg"/><Relationship Id="rId10" Type="http://schemas.openxmlformats.org/officeDocument/2006/relationships/image" Target="media/image2.jpg"/><Relationship Id="rId11" Type="http://schemas.openxmlformats.org/officeDocument/2006/relationships/image" Target="media/image3.jpg"/><Relationship Id="rId12"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