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Fortinet Guide: Part 2 - SD-WAN Zone</w:t>
      </w:r>
    </w:p>
    <w:p>
      <w:r>
        <w:br w:type="page"/>
      </w:r>
    </w:p>
    <w:p>
      <w:pPr>
        <w:pStyle w:val="Heading2"/>
      </w:pPr>
      <w:r>
        <w:t>Bước 1 (00:10:01)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2 (00:10:09)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3 (00:10:21)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4 (00:10:27)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5 (00:10:57)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6 (00:11:16)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7 (00:11:28)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8 (00:11:53)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9 (00:12:00)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10 (00:12:49)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11 (00:13:44)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12 (00:14:19)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13 (00:14:28)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2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